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15, 2020</w:t>
      </w:r>
    </w:p>
    <w:p>
      <w:pPr>
        <w:spacing w:after="0" w:line="225"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Ana Graciela de Méndez</w:t>
      </w:r>
    </w:p>
    <w:p>
      <w:pPr>
        <w:spacing w:after="0" w:line="2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Name: Ana Graciela de Méndez</w:t>
      </w:r>
    </w:p>
    <w:p>
      <w:pPr>
        <w:spacing w:after="0" w:line="9"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259715</wp:posOffset>
            </wp:positionH>
            <wp:positionV relativeFrom="page">
              <wp:posOffset>586105</wp:posOffset>
            </wp:positionV>
            <wp:extent cx="7063740" cy="12941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063740" cy="1294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ind w:left="340" w:right="560"/>
        <w:spacing w:after="0" w:line="282" w:lineRule="auto"/>
        <w:rPr>
          <w:sz w:val="20"/>
          <w:szCs w:val="20"/>
          <w:color w:val="auto"/>
        </w:rPr>
      </w:pPr>
      <w:r>
        <w:rPr>
          <w:rFonts w:ascii="Arial" w:cs="Arial" w:eastAsia="Arial" w:hAnsi="Arial"/>
          <w:sz w:val="18"/>
          <w:szCs w:val="18"/>
          <w:b w:val="1"/>
          <w:bCs w:val="1"/>
          <w:color w:val="auto"/>
        </w:rPr>
        <w:t>BLADEX ANNOUNCES STRONG LEVELS OF CAPITALIZATION, LIQUIDITY AND ASSET QUALITY AT MARCH 31, 2020 PROFIT FOR THE FIRST QUARTER 2020 OF $18.3 MILLION, OR $0.46 PER SHARE</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April 15, 2020</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w:t>
      </w:r>
      <w:r>
        <w:rPr>
          <w:rFonts w:ascii="Arial" w:cs="Arial" w:eastAsia="Arial" w:hAnsi="Arial"/>
          <w:sz w:val="18"/>
          <w:szCs w:val="18"/>
          <w:b w:val="1"/>
          <w:bCs w:val="1"/>
          <w:color w:val="auto"/>
        </w:rPr>
        <w:t xml:space="preserve"> </w:t>
      </w:r>
      <w:r>
        <w:rPr>
          <w:rFonts w:ascii="Arial" w:cs="Arial" w:eastAsia="Arial" w:hAnsi="Arial"/>
          <w:sz w:val="18"/>
          <w:szCs w:val="18"/>
          <w:color w:val="auto"/>
        </w:rPr>
        <w:t>by the central banks of 23 Latin-American and Caribbean countries to promote foreign trade and economic integration in the region, today announced its results for the first quarter (“1Q20”) ended March 31, 2020.</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2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73"/>
        </w:trPr>
        <w:tc>
          <w:tcPr>
            <w:tcW w:w="652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280" w:type="dxa"/>
            <w:vAlign w:val="bottom"/>
          </w:tcPr>
          <w:p>
            <w:pPr>
              <w:spacing w:after="0"/>
              <w:rPr>
                <w:sz w:val="24"/>
                <w:szCs w:val="24"/>
                <w:color w:val="auto"/>
              </w:rPr>
            </w:pPr>
          </w:p>
        </w:tc>
        <w:tc>
          <w:tcPr>
            <w:tcW w:w="1360" w:type="dxa"/>
            <w:vAlign w:val="bottom"/>
            <w:gridSpan w:val="2"/>
          </w:tcPr>
          <w:p>
            <w:pPr>
              <w:jc w:val="right"/>
              <w:ind w:right="800"/>
              <w:spacing w:after="0"/>
              <w:rPr>
                <w:sz w:val="20"/>
                <w:szCs w:val="20"/>
                <w:color w:val="auto"/>
              </w:rPr>
            </w:pPr>
            <w:r>
              <w:rPr>
                <w:rFonts w:ascii="Arial" w:cs="Arial" w:eastAsia="Arial" w:hAnsi="Arial"/>
                <w:sz w:val="18"/>
                <w:szCs w:val="18"/>
                <w:b w:val="1"/>
                <w:bCs w:val="1"/>
                <w:color w:val="auto"/>
              </w:rPr>
              <w:t>1Q20</w:t>
            </w:r>
          </w:p>
        </w:tc>
        <w:tc>
          <w:tcPr>
            <w:tcW w:w="300" w:type="dxa"/>
            <w:vAlign w:val="bottom"/>
          </w:tcPr>
          <w:p>
            <w:pPr>
              <w:spacing w:after="0"/>
              <w:rPr>
                <w:sz w:val="24"/>
                <w:szCs w:val="24"/>
                <w:color w:val="auto"/>
              </w:rPr>
            </w:pPr>
          </w:p>
        </w:tc>
        <w:tc>
          <w:tcPr>
            <w:tcW w:w="1340" w:type="dxa"/>
            <w:vAlign w:val="bottom"/>
            <w:gridSpan w:val="2"/>
          </w:tcPr>
          <w:p>
            <w:pPr>
              <w:jc w:val="right"/>
              <w:ind w:right="800"/>
              <w:spacing w:after="0"/>
              <w:rPr>
                <w:sz w:val="20"/>
                <w:szCs w:val="20"/>
                <w:color w:val="auto"/>
              </w:rPr>
            </w:pPr>
            <w:r>
              <w:rPr>
                <w:rFonts w:ascii="Arial" w:cs="Arial" w:eastAsia="Arial" w:hAnsi="Arial"/>
                <w:sz w:val="18"/>
                <w:szCs w:val="18"/>
                <w:b w:val="1"/>
                <w:bCs w:val="1"/>
                <w:color w:val="auto"/>
              </w:rPr>
              <w:t>4Q19</w:t>
            </w:r>
          </w:p>
        </w:tc>
        <w:tc>
          <w:tcPr>
            <w:tcW w:w="300" w:type="dxa"/>
            <w:vAlign w:val="bottom"/>
          </w:tcPr>
          <w:p>
            <w:pPr>
              <w:spacing w:after="0"/>
              <w:rPr>
                <w:sz w:val="24"/>
                <w:szCs w:val="24"/>
                <w:color w:val="auto"/>
              </w:rPr>
            </w:pPr>
          </w:p>
        </w:tc>
        <w:tc>
          <w:tcPr>
            <w:tcW w:w="114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1Q19</w:t>
            </w:r>
          </w:p>
        </w:tc>
      </w:tr>
      <w:tr>
        <w:trPr>
          <w:trHeight w:val="210"/>
        </w:trPr>
        <w:tc>
          <w:tcPr>
            <w:tcW w:w="6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2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6520" w:type="dxa"/>
            <w:vAlign w:val="bottom"/>
            <w:gridSpan w:val="2"/>
          </w:tcPr>
          <w:p>
            <w:pPr>
              <w:spacing w:after="0"/>
              <w:rPr>
                <w:sz w:val="20"/>
                <w:szCs w:val="20"/>
                <w:color w:val="auto"/>
              </w:rPr>
            </w:pPr>
            <w:r>
              <w:rPr>
                <w:rFonts w:ascii="Arial" w:cs="Arial" w:eastAsia="Arial" w:hAnsi="Arial"/>
                <w:sz w:val="18"/>
                <w:szCs w:val="18"/>
                <w:color w:val="auto"/>
              </w:rPr>
              <w:t>Net Interest Income ("NII")</w:t>
            </w:r>
          </w:p>
        </w:tc>
        <w:tc>
          <w:tcPr>
            <w:tcW w:w="280" w:type="dxa"/>
            <w:vAlign w:val="bottom"/>
          </w:tcPr>
          <w:p>
            <w:pPr>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380"/>
              <w:spacing w:after="0"/>
              <w:rPr>
                <w:sz w:val="20"/>
                <w:szCs w:val="20"/>
                <w:color w:val="auto"/>
              </w:rPr>
            </w:pPr>
            <w:r>
              <w:rPr>
                <w:rFonts w:ascii="Arial" w:cs="Arial" w:eastAsia="Arial" w:hAnsi="Arial"/>
                <w:sz w:val="18"/>
                <w:szCs w:val="18"/>
                <w:color w:val="auto"/>
              </w:rPr>
              <w:t>25.8</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360"/>
              <w:spacing w:after="0"/>
              <w:rPr>
                <w:sz w:val="20"/>
                <w:szCs w:val="20"/>
                <w:color w:val="auto"/>
              </w:rPr>
            </w:pPr>
            <w:r>
              <w:rPr>
                <w:rFonts w:ascii="Arial" w:cs="Arial" w:eastAsia="Arial" w:hAnsi="Arial"/>
                <w:sz w:val="18"/>
                <w:szCs w:val="18"/>
                <w:color w:val="auto"/>
              </w:rPr>
              <w:t>26.9</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28.0</w:t>
            </w:r>
          </w:p>
        </w:tc>
      </w:tr>
      <w:tr>
        <w:trPr>
          <w:trHeight w:val="216"/>
        </w:trPr>
        <w:tc>
          <w:tcPr>
            <w:tcW w:w="6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3.1</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5.4</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w:t>
            </w:r>
          </w:p>
        </w:tc>
      </w:tr>
      <w:tr>
        <w:trPr>
          <w:trHeight w:val="216"/>
        </w:trPr>
        <w:tc>
          <w:tcPr>
            <w:tcW w:w="6520" w:type="dxa"/>
            <w:vAlign w:val="bottom"/>
            <w:gridSpan w:val="2"/>
          </w:tcPr>
          <w:p>
            <w:pPr>
              <w:spacing w:after="0"/>
              <w:rPr>
                <w:sz w:val="20"/>
                <w:szCs w:val="20"/>
                <w:color w:val="auto"/>
              </w:rPr>
            </w:pPr>
            <w:r>
              <w:rPr>
                <w:rFonts w:ascii="Arial" w:cs="Arial" w:eastAsia="Arial" w:hAnsi="Arial"/>
                <w:sz w:val="18"/>
                <w:szCs w:val="18"/>
                <w:color w:val="auto"/>
              </w:rPr>
              <w:t>Total revenues</w:t>
            </w:r>
          </w:p>
        </w:tc>
        <w:tc>
          <w:tcPr>
            <w:tcW w:w="280" w:type="dxa"/>
            <w:vAlign w:val="bottom"/>
          </w:tcPr>
          <w:p>
            <w:pPr>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380"/>
              <w:spacing w:after="0"/>
              <w:rPr>
                <w:sz w:val="20"/>
                <w:szCs w:val="20"/>
                <w:color w:val="auto"/>
              </w:rPr>
            </w:pPr>
            <w:r>
              <w:rPr>
                <w:rFonts w:ascii="Arial" w:cs="Arial" w:eastAsia="Arial" w:hAnsi="Arial"/>
                <w:sz w:val="18"/>
                <w:szCs w:val="18"/>
                <w:color w:val="auto"/>
              </w:rPr>
              <w:t>28.8</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360"/>
              <w:spacing w:after="0"/>
              <w:rPr>
                <w:sz w:val="20"/>
                <w:szCs w:val="20"/>
                <w:color w:val="auto"/>
              </w:rPr>
            </w:pPr>
            <w:r>
              <w:rPr>
                <w:rFonts w:ascii="Arial" w:cs="Arial" w:eastAsia="Arial" w:hAnsi="Arial"/>
                <w:sz w:val="18"/>
                <w:szCs w:val="18"/>
                <w:color w:val="auto"/>
              </w:rPr>
              <w:t>31.4</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32.1</w:t>
            </w:r>
          </w:p>
        </w:tc>
      </w:tr>
      <w:tr>
        <w:trPr>
          <w:trHeight w:val="216"/>
        </w:trPr>
        <w:tc>
          <w:tcPr>
            <w:tcW w:w="6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Reversal (impairment loss) on financial instruments</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0.1</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1.9</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0.9)</w:t>
            </w:r>
          </w:p>
        </w:tc>
      </w:tr>
      <w:tr>
        <w:trPr>
          <w:trHeight w:val="216"/>
        </w:trPr>
        <w:tc>
          <w:tcPr>
            <w:tcW w:w="6520" w:type="dxa"/>
            <w:vAlign w:val="bottom"/>
            <w:gridSpan w:val="2"/>
          </w:tcPr>
          <w:p>
            <w:pPr>
              <w:spacing w:after="0"/>
              <w:rPr>
                <w:sz w:val="20"/>
                <w:szCs w:val="20"/>
                <w:color w:val="auto"/>
              </w:rPr>
            </w:pPr>
            <w:r>
              <w:rPr>
                <w:rFonts w:ascii="Arial" w:cs="Arial" w:eastAsia="Arial" w:hAnsi="Arial"/>
                <w:sz w:val="18"/>
                <w:szCs w:val="18"/>
                <w:color w:val="auto"/>
              </w:rPr>
              <w:t>Operating expenses</w:t>
            </w:r>
          </w:p>
        </w:tc>
        <w:tc>
          <w:tcPr>
            <w:tcW w:w="280" w:type="dxa"/>
            <w:vAlign w:val="bottom"/>
          </w:tcPr>
          <w:p>
            <w:pPr>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320"/>
              <w:spacing w:after="0"/>
              <w:rPr>
                <w:sz w:val="20"/>
                <w:szCs w:val="20"/>
                <w:color w:val="auto"/>
              </w:rPr>
            </w:pPr>
            <w:r>
              <w:rPr>
                <w:rFonts w:ascii="Arial" w:cs="Arial" w:eastAsia="Arial" w:hAnsi="Arial"/>
                <w:sz w:val="18"/>
                <w:szCs w:val="18"/>
                <w:color w:val="auto"/>
              </w:rPr>
              <w:t>10.5)</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300"/>
              <w:spacing w:after="0"/>
              <w:rPr>
                <w:sz w:val="20"/>
                <w:szCs w:val="20"/>
                <w:color w:val="auto"/>
              </w:rPr>
            </w:pPr>
            <w:r>
              <w:rPr>
                <w:rFonts w:ascii="Arial" w:cs="Arial" w:eastAsia="Arial" w:hAnsi="Arial"/>
                <w:sz w:val="18"/>
                <w:szCs w:val="18"/>
                <w:color w:val="auto"/>
              </w:rPr>
              <w:t>11.3)</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9.9)</w:t>
            </w:r>
          </w:p>
        </w:tc>
      </w:tr>
      <w:tr>
        <w:trPr>
          <w:trHeight w:val="216"/>
        </w:trPr>
        <w:tc>
          <w:tcPr>
            <w:tcW w:w="6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18.3</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22.1</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21.2</w:t>
            </w:r>
          </w:p>
        </w:tc>
      </w:tr>
      <w:tr>
        <w:trPr>
          <w:trHeight w:val="216"/>
        </w:trPr>
        <w:tc>
          <w:tcPr>
            <w:tcW w:w="6520" w:type="dxa"/>
            <w:vAlign w:val="bottom"/>
            <w:gridSpan w:val="2"/>
          </w:tcPr>
          <w:p>
            <w:pPr>
              <w:spacing w:after="0"/>
              <w:rPr>
                <w:sz w:val="20"/>
                <w:szCs w:val="20"/>
                <w:color w:val="auto"/>
              </w:rPr>
            </w:pPr>
            <w:r>
              <w:rPr>
                <w:rFonts w:ascii="Arial" w:cs="Arial" w:eastAsia="Arial" w:hAnsi="Arial"/>
                <w:sz w:val="18"/>
                <w:szCs w:val="18"/>
                <w:b w:val="1"/>
                <w:bCs w:val="1"/>
                <w:color w:val="auto"/>
              </w:rPr>
              <w:t>Profitability Ratios</w:t>
            </w: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6"/>
        </w:trPr>
        <w:tc>
          <w:tcPr>
            <w:tcW w:w="65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0.46</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0.56</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0.54</w:t>
            </w:r>
          </w:p>
        </w:tc>
      </w:tr>
      <w:tr>
        <w:trPr>
          <w:trHeight w:val="257"/>
        </w:trPr>
        <w:tc>
          <w:tcPr>
            <w:tcW w:w="6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280" w:type="dxa"/>
            <w:vAlign w:val="bottom"/>
          </w:tcPr>
          <w:p>
            <w:pPr>
              <w:spacing w:after="0"/>
              <w:rPr>
                <w:sz w:val="22"/>
                <w:szCs w:val="22"/>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7.2%</w:t>
            </w:r>
          </w:p>
        </w:tc>
        <w:tc>
          <w:tcPr>
            <w:tcW w:w="300" w:type="dxa"/>
            <w:vAlign w:val="bottom"/>
          </w:tcPr>
          <w:p>
            <w:pPr>
              <w:spacing w:after="0"/>
              <w:rPr>
                <w:sz w:val="22"/>
                <w:szCs w:val="22"/>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8.7%</w:t>
            </w:r>
          </w:p>
        </w:tc>
        <w:tc>
          <w:tcPr>
            <w:tcW w:w="30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8.6%</w:t>
            </w:r>
          </w:p>
        </w:tc>
      </w:tr>
      <w:tr>
        <w:trPr>
          <w:trHeight w:val="216"/>
        </w:trPr>
        <w:tc>
          <w:tcPr>
            <w:tcW w:w="6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Return on Average Assets (“ROAA”)</w:t>
            </w:r>
          </w:p>
        </w:tc>
        <w:tc>
          <w:tcPr>
            <w:tcW w:w="28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w:t>
            </w:r>
          </w:p>
        </w:tc>
        <w:tc>
          <w:tcPr>
            <w:tcW w:w="3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1.34%</w:t>
            </w:r>
          </w:p>
        </w:tc>
        <w:tc>
          <w:tcPr>
            <w:tcW w:w="3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1.31%</w:t>
            </w:r>
          </w:p>
        </w:tc>
      </w:tr>
      <w:tr>
        <w:trPr>
          <w:trHeight w:val="257"/>
        </w:trPr>
        <w:tc>
          <w:tcPr>
            <w:tcW w:w="6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280" w:type="dxa"/>
            <w:vAlign w:val="bottom"/>
          </w:tcPr>
          <w:p>
            <w:pPr>
              <w:spacing w:after="0"/>
              <w:rPr>
                <w:sz w:val="22"/>
                <w:szCs w:val="22"/>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1.59%</w:t>
            </w:r>
          </w:p>
        </w:tc>
        <w:tc>
          <w:tcPr>
            <w:tcW w:w="300" w:type="dxa"/>
            <w:vAlign w:val="bottom"/>
          </w:tcPr>
          <w:p>
            <w:pPr>
              <w:spacing w:after="0"/>
              <w:rPr>
                <w:sz w:val="22"/>
                <w:szCs w:val="22"/>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1.65%</w:t>
            </w:r>
          </w:p>
        </w:tc>
        <w:tc>
          <w:tcPr>
            <w:tcW w:w="30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1.74%</w:t>
            </w:r>
          </w:p>
        </w:tc>
      </w:tr>
      <w:tr>
        <w:trPr>
          <w:trHeight w:val="256"/>
        </w:trPr>
        <w:tc>
          <w:tcPr>
            <w:tcW w:w="65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280" w:type="dxa"/>
            <w:vAlign w:val="bottom"/>
            <w:shd w:val="clear" w:color="auto" w:fill="CCEEFF"/>
          </w:tcPr>
          <w:p>
            <w:pPr>
              <w:spacing w:after="0"/>
              <w:rPr>
                <w:sz w:val="22"/>
                <w:szCs w:val="22"/>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1.16%</w:t>
            </w:r>
          </w:p>
        </w:tc>
        <w:tc>
          <w:tcPr>
            <w:tcW w:w="30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1.18%</w:t>
            </w:r>
          </w:p>
        </w:tc>
        <w:tc>
          <w:tcPr>
            <w:tcW w:w="30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1.16%</w:t>
            </w:r>
          </w:p>
        </w:tc>
      </w:tr>
      <w:tr>
        <w:trPr>
          <w:trHeight w:val="257"/>
        </w:trPr>
        <w:tc>
          <w:tcPr>
            <w:tcW w:w="6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280" w:type="dxa"/>
            <w:vAlign w:val="bottom"/>
          </w:tcPr>
          <w:p>
            <w:pPr>
              <w:spacing w:after="0"/>
              <w:rPr>
                <w:sz w:val="22"/>
                <w:szCs w:val="22"/>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36.7%</w:t>
            </w:r>
          </w:p>
        </w:tc>
        <w:tc>
          <w:tcPr>
            <w:tcW w:w="300" w:type="dxa"/>
            <w:vAlign w:val="bottom"/>
          </w:tcPr>
          <w:p>
            <w:pPr>
              <w:spacing w:after="0"/>
              <w:rPr>
                <w:sz w:val="22"/>
                <w:szCs w:val="22"/>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35.9%</w:t>
            </w:r>
          </w:p>
        </w:tc>
        <w:tc>
          <w:tcPr>
            <w:tcW w:w="30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30.8%</w:t>
            </w:r>
          </w:p>
        </w:tc>
      </w:tr>
      <w:tr>
        <w:trPr>
          <w:trHeight w:val="216"/>
        </w:trPr>
        <w:tc>
          <w:tcPr>
            <w:tcW w:w="65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6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280" w:type="dxa"/>
            <w:vAlign w:val="bottom"/>
          </w:tcPr>
          <w:p>
            <w:pPr>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380"/>
              <w:spacing w:after="0"/>
              <w:rPr>
                <w:sz w:val="20"/>
                <w:szCs w:val="20"/>
                <w:color w:val="auto"/>
              </w:rPr>
            </w:pPr>
            <w:r>
              <w:rPr>
                <w:rFonts w:ascii="Arial" w:cs="Arial" w:eastAsia="Arial" w:hAnsi="Arial"/>
                <w:sz w:val="18"/>
                <w:szCs w:val="18"/>
                <w:color w:val="auto"/>
              </w:rPr>
              <w:t>5,911</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360"/>
              <w:spacing w:after="0"/>
              <w:rPr>
                <w:sz w:val="20"/>
                <w:szCs w:val="20"/>
                <w:color w:val="auto"/>
              </w:rPr>
            </w:pPr>
            <w:r>
              <w:rPr>
                <w:rFonts w:ascii="Arial" w:cs="Arial" w:eastAsia="Arial" w:hAnsi="Arial"/>
                <w:sz w:val="18"/>
                <w:szCs w:val="18"/>
                <w:color w:val="auto"/>
              </w:rPr>
              <w:t>6,582</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6,096</w:t>
            </w:r>
          </w:p>
        </w:tc>
      </w:tr>
      <w:tr>
        <w:trPr>
          <w:trHeight w:val="256"/>
        </w:trPr>
        <w:tc>
          <w:tcPr>
            <w:tcW w:w="65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5,832</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6,502</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6,006</w:t>
            </w:r>
          </w:p>
        </w:tc>
      </w:tr>
      <w:tr>
        <w:trPr>
          <w:trHeight w:val="216"/>
        </w:trPr>
        <w:tc>
          <w:tcPr>
            <w:tcW w:w="6520" w:type="dxa"/>
            <w:vAlign w:val="bottom"/>
            <w:gridSpan w:val="2"/>
          </w:tcPr>
          <w:p>
            <w:pPr>
              <w:spacing w:after="0"/>
              <w:rPr>
                <w:sz w:val="20"/>
                <w:szCs w:val="20"/>
                <w:color w:val="auto"/>
              </w:rPr>
            </w:pPr>
            <w:r>
              <w:rPr>
                <w:rFonts w:ascii="Arial" w:cs="Arial" w:eastAsia="Arial" w:hAnsi="Arial"/>
                <w:sz w:val="18"/>
                <w:szCs w:val="18"/>
                <w:color w:val="auto"/>
              </w:rPr>
              <w:t>Investment Portfolio</w:t>
            </w:r>
          </w:p>
        </w:tc>
        <w:tc>
          <w:tcPr>
            <w:tcW w:w="280" w:type="dxa"/>
            <w:vAlign w:val="bottom"/>
          </w:tcPr>
          <w:p>
            <w:pPr>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380"/>
              <w:spacing w:after="0"/>
              <w:rPr>
                <w:sz w:val="20"/>
                <w:szCs w:val="20"/>
                <w:color w:val="auto"/>
              </w:rPr>
            </w:pPr>
            <w:r>
              <w:rPr>
                <w:rFonts w:ascii="Arial" w:cs="Arial" w:eastAsia="Arial" w:hAnsi="Arial"/>
                <w:sz w:val="18"/>
                <w:szCs w:val="18"/>
                <w:color w:val="auto"/>
              </w:rPr>
              <w:t>79</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360"/>
              <w:spacing w:after="0"/>
              <w:rPr>
                <w:sz w:val="20"/>
                <w:szCs w:val="20"/>
                <w:color w:val="auto"/>
              </w:rPr>
            </w:pPr>
            <w:r>
              <w:rPr>
                <w:rFonts w:ascii="Arial" w:cs="Arial" w:eastAsia="Arial" w:hAnsi="Arial"/>
                <w:sz w:val="18"/>
                <w:szCs w:val="18"/>
                <w:color w:val="auto"/>
              </w:rPr>
              <w:t>80</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90</w:t>
            </w:r>
          </w:p>
        </w:tc>
      </w:tr>
      <w:tr>
        <w:trPr>
          <w:trHeight w:val="216"/>
        </w:trPr>
        <w:tc>
          <w:tcPr>
            <w:tcW w:w="6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6,823</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7,250</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6,450</w:t>
            </w:r>
          </w:p>
        </w:tc>
      </w:tr>
      <w:tr>
        <w:trPr>
          <w:trHeight w:val="216"/>
        </w:trPr>
        <w:tc>
          <w:tcPr>
            <w:tcW w:w="6520" w:type="dxa"/>
            <w:vAlign w:val="bottom"/>
            <w:gridSpan w:val="2"/>
          </w:tcPr>
          <w:p>
            <w:pPr>
              <w:spacing w:after="0"/>
              <w:rPr>
                <w:sz w:val="20"/>
                <w:szCs w:val="20"/>
                <w:color w:val="auto"/>
              </w:rPr>
            </w:pPr>
            <w:r>
              <w:rPr>
                <w:rFonts w:ascii="Arial" w:cs="Arial" w:eastAsia="Arial" w:hAnsi="Arial"/>
                <w:sz w:val="18"/>
                <w:szCs w:val="18"/>
                <w:color w:val="auto"/>
              </w:rPr>
              <w:t>Total equity</w:t>
            </w:r>
          </w:p>
        </w:tc>
        <w:tc>
          <w:tcPr>
            <w:tcW w:w="280" w:type="dxa"/>
            <w:vAlign w:val="bottom"/>
          </w:tcPr>
          <w:p>
            <w:pPr>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380"/>
              <w:spacing w:after="0"/>
              <w:rPr>
                <w:sz w:val="20"/>
                <w:szCs w:val="20"/>
                <w:color w:val="auto"/>
              </w:rPr>
            </w:pPr>
            <w:r>
              <w:rPr>
                <w:rFonts w:ascii="Arial" w:cs="Arial" w:eastAsia="Arial" w:hAnsi="Arial"/>
                <w:sz w:val="18"/>
                <w:szCs w:val="18"/>
                <w:color w:val="auto"/>
              </w:rPr>
              <w:t>1,018</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360"/>
              <w:spacing w:after="0"/>
              <w:rPr>
                <w:sz w:val="20"/>
                <w:szCs w:val="20"/>
                <w:color w:val="auto"/>
              </w:rPr>
            </w:pPr>
            <w:r>
              <w:rPr>
                <w:rFonts w:ascii="Arial" w:cs="Arial" w:eastAsia="Arial" w:hAnsi="Arial"/>
                <w:sz w:val="18"/>
                <w:szCs w:val="18"/>
                <w:color w:val="auto"/>
              </w:rPr>
              <w:t>1,016</w:t>
            </w:r>
          </w:p>
        </w:tc>
        <w:tc>
          <w:tcPr>
            <w:tcW w:w="300" w:type="dxa"/>
            <w:vAlign w:val="bottom"/>
          </w:tcPr>
          <w:p>
            <w:pPr>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997</w:t>
            </w:r>
          </w:p>
        </w:tc>
      </w:tr>
      <w:tr>
        <w:trPr>
          <w:trHeight w:val="257"/>
        </w:trPr>
        <w:tc>
          <w:tcPr>
            <w:tcW w:w="65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408</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847</w:t>
            </w:r>
          </w:p>
        </w:tc>
        <w:tc>
          <w:tcPr>
            <w:tcW w:w="3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788</w:t>
            </w:r>
          </w:p>
        </w:tc>
      </w:tr>
      <w:tr>
        <w:trPr>
          <w:trHeight w:val="257"/>
        </w:trPr>
        <w:tc>
          <w:tcPr>
            <w:tcW w:w="6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280" w:type="dxa"/>
            <w:vAlign w:val="bottom"/>
          </w:tcPr>
          <w:p>
            <w:pPr>
              <w:spacing w:after="0"/>
              <w:rPr>
                <w:sz w:val="22"/>
                <w:szCs w:val="22"/>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21.8%</w:t>
            </w:r>
          </w:p>
        </w:tc>
        <w:tc>
          <w:tcPr>
            <w:tcW w:w="300" w:type="dxa"/>
            <w:vAlign w:val="bottom"/>
          </w:tcPr>
          <w:p>
            <w:pPr>
              <w:spacing w:after="0"/>
              <w:rPr>
                <w:sz w:val="22"/>
                <w:szCs w:val="22"/>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19.8%</w:t>
            </w:r>
          </w:p>
        </w:tc>
        <w:tc>
          <w:tcPr>
            <w:tcW w:w="30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20.1%</w:t>
            </w:r>
          </w:p>
        </w:tc>
      </w:tr>
      <w:tr>
        <w:trPr>
          <w:trHeight w:val="216"/>
        </w:trPr>
        <w:tc>
          <w:tcPr>
            <w:tcW w:w="6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28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6.7</w:t>
            </w:r>
          </w:p>
        </w:tc>
        <w:tc>
          <w:tcPr>
            <w:tcW w:w="3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7.1</w:t>
            </w:r>
          </w:p>
        </w:tc>
        <w:tc>
          <w:tcPr>
            <w:tcW w:w="3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r>
      <w:tr>
        <w:trPr>
          <w:trHeight w:val="256"/>
        </w:trPr>
        <w:tc>
          <w:tcPr>
            <w:tcW w:w="6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280" w:type="dxa"/>
            <w:vAlign w:val="bottom"/>
          </w:tcPr>
          <w:p>
            <w:pPr>
              <w:spacing w:after="0"/>
              <w:rPr>
                <w:sz w:val="22"/>
                <w:szCs w:val="22"/>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19.0%</w:t>
            </w:r>
          </w:p>
        </w:tc>
        <w:tc>
          <w:tcPr>
            <w:tcW w:w="300" w:type="dxa"/>
            <w:vAlign w:val="bottom"/>
          </w:tcPr>
          <w:p>
            <w:pPr>
              <w:spacing w:after="0"/>
              <w:rPr>
                <w:sz w:val="22"/>
                <w:szCs w:val="22"/>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16.0%</w:t>
            </w:r>
          </w:p>
        </w:tc>
        <w:tc>
          <w:tcPr>
            <w:tcW w:w="30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11.9%</w:t>
            </w:r>
          </w:p>
        </w:tc>
      </w:tr>
      <w:tr>
        <w:trPr>
          <w:trHeight w:val="256"/>
        </w:trPr>
        <w:tc>
          <w:tcPr>
            <w:tcW w:w="65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(11)</w:t>
            </w:r>
          </w:p>
        </w:tc>
        <w:tc>
          <w:tcPr>
            <w:tcW w:w="280" w:type="dxa"/>
            <w:vAlign w:val="bottom"/>
            <w:shd w:val="clear" w:color="auto" w:fill="CCEEFF"/>
          </w:tcPr>
          <w:p>
            <w:pPr>
              <w:spacing w:after="0"/>
              <w:rPr>
                <w:sz w:val="22"/>
                <w:szCs w:val="22"/>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1.16%</w:t>
            </w:r>
          </w:p>
        </w:tc>
        <w:tc>
          <w:tcPr>
            <w:tcW w:w="30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w:t>
            </w:r>
          </w:p>
        </w:tc>
        <w:tc>
          <w:tcPr>
            <w:tcW w:w="30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1.18%</w:t>
            </w:r>
          </w:p>
        </w:tc>
      </w:tr>
      <w:tr>
        <w:trPr>
          <w:trHeight w:val="256"/>
        </w:trPr>
        <w:tc>
          <w:tcPr>
            <w:tcW w:w="6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(12)</w:t>
            </w:r>
          </w:p>
        </w:tc>
        <w:tc>
          <w:tcPr>
            <w:tcW w:w="280" w:type="dxa"/>
            <w:vAlign w:val="bottom"/>
          </w:tcPr>
          <w:p>
            <w:pPr>
              <w:spacing w:after="0"/>
              <w:rPr>
                <w:sz w:val="22"/>
                <w:szCs w:val="22"/>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1.73%</w:t>
            </w:r>
          </w:p>
        </w:tc>
        <w:tc>
          <w:tcPr>
            <w:tcW w:w="300" w:type="dxa"/>
            <w:vAlign w:val="bottom"/>
          </w:tcPr>
          <w:p>
            <w:pPr>
              <w:spacing w:after="0"/>
              <w:rPr>
                <w:sz w:val="22"/>
                <w:szCs w:val="22"/>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1.56%</w:t>
            </w:r>
          </w:p>
        </w:tc>
        <w:tc>
          <w:tcPr>
            <w:tcW w:w="30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1.73%</w:t>
            </w:r>
          </w:p>
        </w:tc>
      </w:tr>
      <w:tr>
        <w:trPr>
          <w:trHeight w:val="270"/>
        </w:trPr>
        <w:tc>
          <w:tcPr>
            <w:tcW w:w="6520" w:type="dxa"/>
            <w:vAlign w:val="bottom"/>
            <w:gridSpan w:val="2"/>
            <w:shd w:val="clear" w:color="auto" w:fill="CCEEFF"/>
          </w:tcPr>
          <w:p>
            <w:pPr>
              <w:spacing w:after="0" w:line="270" w:lineRule="exact"/>
              <w:rPr>
                <w:sz w:val="20"/>
                <w:szCs w:val="20"/>
                <w:color w:val="auto"/>
              </w:rPr>
            </w:pPr>
            <w:r>
              <w:rPr>
                <w:rFonts w:ascii="Arial" w:cs="Arial" w:eastAsia="Arial" w:hAnsi="Arial"/>
                <w:sz w:val="18"/>
                <w:szCs w:val="18"/>
                <w:color w:val="auto"/>
              </w:rPr>
              <w:t xml:space="preserve">Total allowance for losses to credit-impaired loans (times) </w:t>
            </w:r>
            <w:r>
              <w:rPr>
                <w:rFonts w:ascii="Arial" w:cs="Arial" w:eastAsia="Arial" w:hAnsi="Arial"/>
                <w:sz w:val="29"/>
                <w:szCs w:val="29"/>
                <w:color w:val="auto"/>
                <w:vertAlign w:val="superscript"/>
              </w:rPr>
              <w:t>(12)</w:t>
            </w:r>
          </w:p>
        </w:tc>
        <w:tc>
          <w:tcPr>
            <w:tcW w:w="280" w:type="dxa"/>
            <w:vAlign w:val="bottom"/>
            <w:shd w:val="clear" w:color="auto" w:fill="CCEEFF"/>
          </w:tcPr>
          <w:p>
            <w:pPr>
              <w:spacing w:after="0"/>
              <w:rPr>
                <w:sz w:val="23"/>
                <w:szCs w:val="23"/>
                <w:color w:val="auto"/>
              </w:rPr>
            </w:pPr>
          </w:p>
        </w:tc>
        <w:tc>
          <w:tcPr>
            <w:tcW w:w="136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1.7</w:t>
            </w:r>
          </w:p>
        </w:tc>
        <w:tc>
          <w:tcPr>
            <w:tcW w:w="300" w:type="dxa"/>
            <w:vAlign w:val="bottom"/>
            <w:shd w:val="clear" w:color="auto" w:fill="CCEEFF"/>
          </w:tcPr>
          <w:p>
            <w:pPr>
              <w:spacing w:after="0"/>
              <w:rPr>
                <w:sz w:val="23"/>
                <w:szCs w:val="23"/>
                <w:color w:val="auto"/>
              </w:rPr>
            </w:pPr>
          </w:p>
        </w:tc>
        <w:tc>
          <w:tcPr>
            <w:tcW w:w="1340" w:type="dxa"/>
            <w:vAlign w:val="bottom"/>
            <w:gridSpan w:val="2"/>
            <w:shd w:val="clear" w:color="auto" w:fill="CCEEFF"/>
          </w:tcPr>
          <w:p>
            <w:pPr>
              <w:jc w:val="right"/>
              <w:ind w:right="360"/>
              <w:spacing w:after="0"/>
              <w:rPr>
                <w:sz w:val="20"/>
                <w:szCs w:val="20"/>
                <w:color w:val="auto"/>
              </w:rPr>
            </w:pPr>
            <w:r>
              <w:rPr>
                <w:rFonts w:ascii="Arial" w:cs="Arial" w:eastAsia="Arial" w:hAnsi="Arial"/>
                <w:sz w:val="18"/>
                <w:szCs w:val="18"/>
                <w:color w:val="auto"/>
              </w:rPr>
              <w:t>1.7</w:t>
            </w:r>
          </w:p>
        </w:tc>
        <w:tc>
          <w:tcPr>
            <w:tcW w:w="30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r>
      <w:tr>
        <w:trPr>
          <w:trHeight w:val="702"/>
        </w:trPr>
        <w:tc>
          <w:tcPr>
            <w:tcW w:w="63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440" w:right="3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225425</wp:posOffset>
            </wp:positionH>
            <wp:positionV relativeFrom="page">
              <wp:posOffset>603250</wp:posOffset>
            </wp:positionV>
            <wp:extent cx="7063740" cy="12941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063740" cy="1294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1Q20 Highlights</w:t>
      </w:r>
    </w:p>
    <w:p>
      <w:pPr>
        <w:spacing w:after="0" w:line="229" w:lineRule="exact"/>
        <w:rPr>
          <w:sz w:val="20"/>
          <w:szCs w:val="20"/>
          <w:color w:val="auto"/>
        </w:rPr>
      </w:pPr>
    </w:p>
    <w:p>
      <w:pPr>
        <w:jc w:val="both"/>
        <w:ind w:left="34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 reported a financial position at March 31, 2020, characterized by its prudent liquidity management and ample cash position, its solid level of capitalization, and sound asset quality. In the context of the recent and rapidly evolving adverse effects from the coronavirus outbreak (“Covid-19”), these represent strong foundations on which to operate the business.</w:t>
      </w:r>
    </w:p>
    <w:p>
      <w:pPr>
        <w:spacing w:after="0" w:line="183"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As of March 31, 2020, the Bank’s liquidity increased to $1.3 billion (+12% QoQ; +68% YoY), representing 19% of total assets and 53% of total deposits; 98% of cash and deposits on banks was placed with the Federal Reserve Bank of New York.</w:t>
      </w:r>
    </w:p>
    <w:p>
      <w:pPr>
        <w:spacing w:after="0" w:line="170" w:lineRule="exact"/>
        <w:rPr>
          <w:rFonts w:ascii="Arial" w:cs="Arial" w:eastAsia="Arial" w:hAnsi="Arial"/>
          <w:sz w:val="18"/>
          <w:szCs w:val="18"/>
          <w:color w:val="auto"/>
        </w:rPr>
      </w:pPr>
    </w:p>
    <w:p>
      <w:pPr>
        <w:jc w:val="both"/>
        <w:ind w:left="340" w:hanging="332"/>
        <w:spacing w:after="0" w:line="311" w:lineRule="auto"/>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The Bank’s Tier 1 Basel III Capital Ratio reached 21.8%, reflecting a stronger capitalization level than prior comparative periods, resulting from an increasing equity base and lower risk-weighted assets. The latter relates to the Bank’s ability to decrease its Commercial Portfolio toward the end of the quarter, on the onset of the COVID-19 crisis, which led to prudent measures, including preserving liquidity and stricter credit underwriting.</w:t>
      </w:r>
    </w:p>
    <w:p>
      <w:pPr>
        <w:spacing w:after="0" w:line="148" w:lineRule="exact"/>
        <w:rPr>
          <w:rFonts w:ascii="Arial" w:cs="Arial" w:eastAsia="Arial" w:hAnsi="Arial"/>
          <w:sz w:val="16"/>
          <w:szCs w:val="16"/>
          <w:color w:val="auto"/>
        </w:rPr>
      </w:pPr>
    </w:p>
    <w:p>
      <w:pPr>
        <w:jc w:val="both"/>
        <w:ind w:left="340" w:hanging="332"/>
        <w:spacing w:after="0" w:line="286"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Commercial Portfolio totaled $5.8 billion at March 31, 2020 (-10% QoQ; -3% YoY) with improved quality exposure, as 55% of the portfolio was in investment grade countries. Also, exposure to financial institutions was 55%, and 15% to quasi-sovereign corporations, with the remainder to top-tier corporations throughout the Region. 1Q20 average Commercial Portfolio balance was nearly stable at $6.2 billion (-1% QoQ; +2% YoY).</w:t>
      </w:r>
    </w:p>
    <w:p>
      <w:pPr>
        <w:spacing w:after="0" w:line="165" w:lineRule="exact"/>
        <w:rPr>
          <w:rFonts w:ascii="Arial" w:cs="Arial" w:eastAsia="Arial" w:hAnsi="Arial"/>
          <w:sz w:val="17"/>
          <w:szCs w:val="17"/>
          <w:color w:val="auto"/>
        </w:rPr>
      </w:pPr>
    </w:p>
    <w:p>
      <w:pPr>
        <w:jc w:val="both"/>
        <w:ind w:left="340" w:right="20" w:hanging="332"/>
        <w:spacing w:after="0" w:line="286"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Bladex’s Profit for 1Q20 totaled $18.3 million (-17% QoQ; -14% YoY) resulting in an annualized Return on Average Equity (“ROAE”) of 7.2% for the period. The Bank’s profitability in 1Q20 was pressured by lower income generation from Net Interest Income (“NII”), and the seasonal effect on syndication fees and other income. The QoQ decrease was also impacted by reversal of impairment losses registered in the previous quarter.</w:t>
      </w:r>
    </w:p>
    <w:p>
      <w:pPr>
        <w:spacing w:after="0" w:line="165" w:lineRule="exact"/>
        <w:rPr>
          <w:rFonts w:ascii="Arial" w:cs="Arial" w:eastAsia="Arial" w:hAnsi="Arial"/>
          <w:sz w:val="17"/>
          <w:szCs w:val="17"/>
          <w:color w:val="auto"/>
        </w:rPr>
      </w:pPr>
    </w:p>
    <w:p>
      <w:pPr>
        <w:jc w:val="both"/>
        <w:ind w:left="34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Net Interest Income (“NII”) for 1Q20 was $25.8 million (-4% QoQ; -8% YoY), with a Net Interest Margin (“NIM”) of 1.59% (-6 bps QoQ; -15 bps YoY) and a Net Interest Spread (“NIS”) nearly stable at 1.16%. The quarterly decreases of NII and NIM were mostly associated with the net effect of lower average market rates (LIBOR-based) partially offset by higher average lending volumes.</w:t>
      </w:r>
    </w:p>
    <w:p>
      <w:pPr>
        <w:spacing w:after="0" w:line="183" w:lineRule="exact"/>
        <w:rPr>
          <w:rFonts w:ascii="Arial" w:cs="Arial" w:eastAsia="Arial" w:hAnsi="Arial"/>
          <w:sz w:val="18"/>
          <w:szCs w:val="18"/>
          <w:color w:val="auto"/>
        </w:rPr>
      </w:pPr>
    </w:p>
    <w:p>
      <w:pPr>
        <w:jc w:val="both"/>
        <w:ind w:left="340" w:right="2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commissions income totaled $3.1 million for 1Q20, a 31% YoY increase driven by higher fees from letters of credit (+14% YoY) and loan syndication (+$0.4 million). The 43% QoQ decrease was mostly due to the uneven effect of the syndication business, despite the good performance of the Bank’s letters of credit business.</w:t>
      </w:r>
    </w:p>
    <w:p>
      <w:pPr>
        <w:spacing w:after="0" w:line="183" w:lineRule="exact"/>
        <w:rPr>
          <w:rFonts w:ascii="Arial" w:cs="Arial" w:eastAsia="Arial" w:hAnsi="Arial"/>
          <w:sz w:val="18"/>
          <w:szCs w:val="18"/>
          <w:color w:val="auto"/>
        </w:rPr>
      </w:pPr>
    </w:p>
    <w:p>
      <w:pPr>
        <w:ind w:left="340" w:hanging="332"/>
        <w:spacing w:after="0" w:line="342" w:lineRule="auto"/>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1Q20 Efficiency Ratio was 37% (+1 pt QoQ; +6 pts YoY) mainly on lower total revenues, as operating expenses remained on track, reflecting effective cost control. Operating expenses increased 7% YoY mainly from higher personnel expenses, most of which was related to the CEO transition.</w:t>
      </w:r>
    </w:p>
    <w:p>
      <w:pPr>
        <w:spacing w:after="0" w:line="123" w:lineRule="exact"/>
        <w:rPr>
          <w:rFonts w:ascii="Arial" w:cs="Arial" w:eastAsia="Arial" w:hAnsi="Arial"/>
          <w:sz w:val="16"/>
          <w:szCs w:val="16"/>
          <w:color w:val="auto"/>
        </w:rPr>
      </w:pPr>
    </w:p>
    <w:p>
      <w:pPr>
        <w:ind w:left="340" w:hanging="332"/>
        <w:spacing w:after="0" w:line="308"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Credit-impaired Loans, also referred to as Non-Performing Loans or NPLs, remained unchanged QoQ at $61.8 million, now representing 1.16% of lower total Loan Portfolio balances at the end of 1Q20. This compares to $64.7 million, or 1.18% of total Loan Portfolio, a year ago.</w:t>
      </w:r>
    </w:p>
    <w:p>
      <w:pPr>
        <w:spacing w:after="0" w:line="146" w:lineRule="exact"/>
        <w:rPr>
          <w:rFonts w:ascii="Arial" w:cs="Arial" w:eastAsia="Arial" w:hAnsi="Arial"/>
          <w:sz w:val="17"/>
          <w:szCs w:val="17"/>
          <w:color w:val="auto"/>
        </w:rPr>
      </w:pPr>
    </w:p>
    <w:p>
      <w:pPr>
        <w:jc w:val="both"/>
        <w:ind w:left="340" w:hanging="332"/>
        <w:spacing w:after="0" w:line="259"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total allowance for credit losses remained relatively stable at March 31, 2020 with respect to December 31, 2019 levels, representing 1.73% of the total Credit Portfolio, compared to 1.56% a quarter ago. The increased coverage resulted from higher provision requirements on revised outlook for certain industries mostly impacted by Covid-19, partially offset by reversal in the collectively assessed provision from lower EoP portfolio balances.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419100</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225425</wp:posOffset>
            </wp:positionH>
            <wp:positionV relativeFrom="page">
              <wp:posOffset>586105</wp:posOffset>
            </wp:positionV>
            <wp:extent cx="7063740" cy="12941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063740" cy="1294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Mr. Jorge Salas, Bladex’s Chief Executive Officer said:</w:t>
      </w:r>
    </w:p>
    <w:p>
      <w:pPr>
        <w:spacing w:after="0" w:line="225"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“A couple of days after I joined the Bank on March 9, the World Health Organization declared COVID-19 as a global pandemic and we at Bladex activated our Business Continuity Plan on March 12. Since then, our 177 employees have been working remotely and the Bank’s day-to-day operations in full scale have continued uninterrupted, demonstrating the Bank’s preparation and agility in its operating structure.</w:t>
      </w:r>
    </w:p>
    <w:p>
      <w:pPr>
        <w:spacing w:after="0" w:line="184"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In view of the magnitude of this crisis and the sudden and profound impact on global markets, the Bank took rapid steps to preserve liquidity, and was able to increase its cash position because of its historically diversified and stable funding sources, which include deposits from Latin American central banks, our Class A shareholders, as well as long-standing relationships with correspondent banks across the globe.</w:t>
      </w:r>
    </w:p>
    <w:p>
      <w:pPr>
        <w:spacing w:after="0" w:line="165" w:lineRule="exact"/>
        <w:rPr>
          <w:sz w:val="20"/>
          <w:szCs w:val="20"/>
          <w:color w:val="auto"/>
        </w:rPr>
      </w:pPr>
    </w:p>
    <w:p>
      <w:pPr>
        <w:jc w:val="both"/>
        <w:ind w:right="20"/>
        <w:spacing w:after="0" w:line="255" w:lineRule="auto"/>
        <w:rPr>
          <w:sz w:val="20"/>
          <w:szCs w:val="20"/>
          <w:color w:val="auto"/>
        </w:rPr>
      </w:pPr>
      <w:r>
        <w:rPr>
          <w:rFonts w:ascii="Arial" w:cs="Arial" w:eastAsia="Arial" w:hAnsi="Arial"/>
          <w:sz w:val="18"/>
          <w:szCs w:val="18"/>
          <w:color w:val="auto"/>
        </w:rPr>
        <w:t>On the credit side, the Bank has maintained a high quality portfolio with a country mix that, thanks to the strategies implemented during the last several quarters, is weighted toward lower risk countries, quasi-sovereign corporations and top-tier banks across the Region that accounted for 55% of total exposure at quarter-end. The short-term nature of our exposure, coupled with our geographic diversification and the top quality of our clients, gives us the ability to rearrange the portfolio, as we did throughout 2019. With a focus on maintaining credit soundness under strict and prudent underwriting standards, we are serving our strategic customer base focusing on client segments and industries that are better suited to face the challenges posed by the current crisis.</w:t>
      </w:r>
    </w:p>
    <w:p>
      <w:pPr>
        <w:spacing w:after="0" w:line="192" w:lineRule="exact"/>
        <w:rPr>
          <w:sz w:val="20"/>
          <w:szCs w:val="20"/>
          <w:color w:val="auto"/>
        </w:rPr>
      </w:pPr>
    </w:p>
    <w:p>
      <w:pPr>
        <w:jc w:val="both"/>
        <w:ind w:right="20"/>
        <w:spacing w:after="0" w:line="279" w:lineRule="auto"/>
        <w:rPr>
          <w:sz w:val="20"/>
          <w:szCs w:val="20"/>
          <w:color w:val="auto"/>
        </w:rPr>
      </w:pPr>
      <w:r>
        <w:rPr>
          <w:rFonts w:ascii="Arial" w:cs="Arial" w:eastAsia="Arial" w:hAnsi="Arial"/>
          <w:sz w:val="17"/>
          <w:szCs w:val="17"/>
          <w:color w:val="auto"/>
        </w:rPr>
        <w:t>Our results for the first quarter of 2020 show a well-capitalized, highly liquid bank with a strong balance sheet, industry leading efficiency metrics, sound asset quality with a top-notch clientele, very low arrears and, perhaps most importantly, the ability to be flexible. I am very grateful to lead an organization that can quickly adapt to such extreme circumstances, and I want to personally thank our employees and our Board of Directors who have made this possible. Those of you who know BLADEX, know that our strength and adaptability are built in, and have been so for a long time.</w:t>
      </w:r>
    </w:p>
    <w:p>
      <w:pPr>
        <w:spacing w:after="0" w:line="171" w:lineRule="exact"/>
        <w:rPr>
          <w:sz w:val="20"/>
          <w:szCs w:val="20"/>
          <w:color w:val="auto"/>
        </w:rPr>
      </w:pPr>
    </w:p>
    <w:p>
      <w:pPr>
        <w:spacing w:after="0" w:line="275" w:lineRule="auto"/>
        <w:rPr>
          <w:sz w:val="20"/>
          <w:szCs w:val="20"/>
          <w:color w:val="auto"/>
        </w:rPr>
      </w:pPr>
      <w:r>
        <w:rPr>
          <w:rFonts w:ascii="Arial" w:cs="Arial" w:eastAsia="Arial" w:hAnsi="Arial"/>
          <w:sz w:val="17"/>
          <w:szCs w:val="17"/>
          <w:color w:val="auto"/>
        </w:rPr>
        <w:t>Finally, I want to address our Board’s decision on the dividend declaration announced today. In view of the Bank's strong balance sheet, together with our continued capacity to generate capital through earnings, the Board decided to continue to distribute dividends. However, now that capital preservation is an over-arching priority, the Board reduced the first interim dividend to 25 cents per share, which is a payout of 54% on first quarter 2020 earnings. Because of the volatile nature of the Latin American Region in which we operate, the Bank has historically maintained solid levels of capitalization which, in this context, becomes a unique strength, enabling us to serve our clients’ needs in difficult times like these.”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412115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180"/>
          </w:cols>
          <w:pgMar w:left="320" w:top="1440" w:right="399"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312" w:lineRule="auto"/>
        <w:tabs>
          <w:tab w:leader="none" w:pos="660" w:val="left"/>
        </w:tabs>
        <w:numPr>
          <w:ilvl w:val="0"/>
          <w:numId w:val="2"/>
        </w:numPr>
        <w:rPr>
          <w:rFonts w:ascii="Arial" w:cs="Arial" w:eastAsia="Arial" w:hAnsi="Arial"/>
          <w:sz w:val="17"/>
          <w:szCs w:val="17"/>
          <w:color w:val="1F497D"/>
        </w:rPr>
      </w:pPr>
      <w:r>
        <w:rPr>
          <w:rFonts w:ascii="Arial" w:cs="Arial" w:eastAsia="Arial" w:hAnsi="Arial"/>
          <w:sz w:val="17"/>
          <w:szCs w:val="17"/>
          <w:b w:val="1"/>
          <w:bCs w:val="1"/>
          <w:color w:val="auto"/>
        </w:rPr>
        <w:t xml:space="preserve">Quarterly dividend payment: </w:t>
      </w:r>
      <w:r>
        <w:rPr>
          <w:rFonts w:ascii="Arial" w:cs="Arial" w:eastAsia="Arial" w:hAnsi="Arial"/>
          <w:sz w:val="17"/>
          <w:szCs w:val="17"/>
          <w:color w:val="auto"/>
        </w:rPr>
        <w:t>The Bank’s Board of Directors (the “Board”) approved a quarterly common dividend of $0.25 per share</w:t>
      </w:r>
      <w:r>
        <w:rPr>
          <w:rFonts w:ascii="Arial" w:cs="Arial" w:eastAsia="Arial" w:hAnsi="Arial"/>
          <w:sz w:val="17"/>
          <w:szCs w:val="17"/>
          <w:b w:val="1"/>
          <w:bCs w:val="1"/>
          <w:color w:val="auto"/>
        </w:rPr>
        <w:t xml:space="preserve"> </w:t>
      </w:r>
      <w:r>
        <w:rPr>
          <w:rFonts w:ascii="Arial" w:cs="Arial" w:eastAsia="Arial" w:hAnsi="Arial"/>
          <w:sz w:val="17"/>
          <w:szCs w:val="17"/>
          <w:color w:val="auto"/>
        </w:rPr>
        <w:t>corresponding to the first quarter 2020. The cash dividend will be paid on May 13, 2020, to shareholders registered as of April 27, 2020.</w:t>
      </w:r>
    </w:p>
    <w:p>
      <w:pPr>
        <w:spacing w:after="0" w:line="14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7" w:lineRule="exact"/>
        <w:rPr>
          <w:sz w:val="20"/>
          <w:szCs w:val="20"/>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0"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6" w:lineRule="exact"/>
        <w:rPr>
          <w:rFonts w:ascii="Arial" w:cs="Arial" w:eastAsia="Arial" w:hAnsi="Arial"/>
          <w:sz w:val="17"/>
          <w:szCs w:val="17"/>
          <w:color w:val="auto"/>
        </w:rPr>
      </w:pPr>
    </w:p>
    <w:p>
      <w:pPr>
        <w:ind w:left="660" w:right="8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right="80" w:hanging="328"/>
        <w:spacing w:after="0" w:line="286" w:lineRule="auto"/>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color w:val="auto"/>
        </w:rPr>
        <w:t>The Bank’s “Credit Portfolio” 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65" w:lineRule="exact"/>
        <w:rPr>
          <w:rFonts w:ascii="Arial" w:cs="Arial" w:eastAsia="Arial" w:hAnsi="Arial"/>
          <w:sz w:val="17"/>
          <w:szCs w:val="17"/>
          <w:color w:val="auto"/>
        </w:rPr>
      </w:pPr>
    </w:p>
    <w:p>
      <w:pPr>
        <w:jc w:val="both"/>
        <w:ind w:left="660" w:right="80" w:hanging="328"/>
        <w:spacing w:after="0" w:line="263"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3"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right="100" w:hanging="328"/>
        <w:spacing w:after="0" w:line="263"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3" w:lineRule="exact"/>
        <w:rPr>
          <w:rFonts w:ascii="Arial" w:cs="Arial" w:eastAsia="Arial" w:hAnsi="Arial"/>
          <w:sz w:val="18"/>
          <w:szCs w:val="18"/>
          <w:color w:val="auto"/>
        </w:rPr>
      </w:pPr>
    </w:p>
    <w:p>
      <w:pPr>
        <w:ind w:left="660" w:right="8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Liquid assets refer to total cash and due from banks,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NPLs.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22244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6130" cy="2224405"/>
                    </a:xfrm>
                    <a:prstGeom prst="rect">
                      <a:avLst/>
                    </a:prstGeom>
                    <a:noFill/>
                  </pic:spPr>
                </pic:pic>
              </a:graphicData>
            </a:graphic>
          </wp:anchor>
        </w:drawing>
      </w:r>
    </w:p>
    <w:p>
      <w:pPr>
        <w:spacing w:after="0" w:line="223" w:lineRule="exact"/>
        <w:rPr>
          <w:sz w:val="20"/>
          <w:szCs w:val="20"/>
          <w:color w:val="auto"/>
        </w:rPr>
      </w:pPr>
    </w:p>
    <w:p>
      <w:pPr>
        <w:jc w:val="both"/>
        <w:ind w:left="80"/>
        <w:spacing w:after="0" w:line="285"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39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 xml:space="preserve">There will be a conference call to discuss the Bank’s quarterly results on Wednesday, April 15, 2020 at 11:00 a.m. New York City time (Eastern Time). For those interested in participating, please dial 1-877-271-1828 in the United States or, if outside the United States, 1-334-323-9871. Participants should use conference passcode 44414285#, and dial in five minutes before the call is set to begin. There will also be a live audio webcast of the conference at http://www.bladex.com. The webcast presentation will be available for viewing and downloads on </w:t>
      </w:r>
      <w:r>
        <w:rPr>
          <w:rFonts w:ascii="Arial" w:cs="Arial" w:eastAsia="Arial" w:hAnsi="Arial"/>
          <w:sz w:val="16"/>
          <w:szCs w:val="16"/>
          <w:u w:val="single" w:color="auto"/>
          <w:color w:val="auto"/>
        </w:rPr>
        <w:t>http://www.bladex.com</w:t>
      </w:r>
      <w:r>
        <w:rPr>
          <w:rFonts w:ascii="Arial" w:cs="Arial" w:eastAsia="Arial" w:hAnsi="Arial"/>
          <w:sz w:val="16"/>
          <w:szCs w:val="16"/>
          <w:color w:val="auto"/>
        </w:rPr>
        <w:t>.</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88179402.</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160"/>
          </w:cols>
          <w:pgMar w:left="320" w:top="1440" w:right="419" w:bottom="1440" w:gutter="0" w:footer="0" w:header="0"/>
        </w:sectPr>
      </w:pPr>
    </w:p>
    <w:bookmarkStart w:id="7" w:name="page8"/>
    <w:bookmarkEnd w:id="7"/>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5095240</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page">
              <wp:posOffset>2831465</wp:posOffset>
            </wp:positionH>
            <wp:positionV relativeFrom="page">
              <wp:posOffset>2205990</wp:posOffset>
            </wp:positionV>
            <wp:extent cx="1851660" cy="14655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1851660" cy="1465580"/>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4B0DC51"/>
    <w:multiLevelType w:val="hybridMultilevel"/>
    <w:lvl w:ilvl="0">
      <w:lvlJc w:val="left"/>
      <w:lvlText w:val="·"/>
      <w:numFmt w:val="bullet"/>
      <w:start w:val="1"/>
    </w:lvl>
  </w:abstractNum>
  <w:abstractNum w:abstractNumId="1">
    <w:nsid w:val="19495CFF"/>
    <w:multiLevelType w:val="hybridMultilevel"/>
    <w:lvl w:ilvl="0">
      <w:lvlJc w:val="left"/>
      <w:lvlText w:val="§"/>
      <w:numFmt w:val="bullet"/>
      <w:start w:val="1"/>
    </w:lvl>
  </w:abstractNum>
  <w:abstractNum w:abstractNumId="2">
    <w:nsid w:val="2AE8944A"/>
    <w:multiLevelType w:val="hybridMultilevel"/>
    <w:lvl w:ilvl="0">
      <w:lvlJc w:val="left"/>
      <w:lvlText w:val="-"/>
      <w:numFmt w:val="bullet"/>
      <w:start w:val="1"/>
    </w:lvl>
  </w:abstractNum>
  <w:abstractNum w:abstractNumId="3">
    <w:nsid w:val="625558EC"/>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2020-04-15T16:29:15Z</dcterms:created>
  <dcterms:modified xsi:type="dcterms:W3CDTF">2020-04-15T16:29:15Z</dcterms:modified>
</cp:coreProperties>
</file>